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5658829E">
      <w:pPr>
        <w:pStyle w:val="PostingDate"/>
        <w:rPr>
          <w:sz w:val="16"/>
        </w:rPr>
      </w:pPr>
      <w:r>
        <w:t>As of August 2</w:t>
      </w:r>
      <w:r w:rsidR="00DB1E6F">
        <w:t>2</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37E89CEF">
      <w:pPr>
        <w:pStyle w:val="MeetingDetails"/>
        <w:rPr>
          <w:u w:val="single"/>
        </w:rPr>
      </w:pPr>
      <w:r>
        <w:t>Webex</w:t>
      </w:r>
      <w:r w:rsidR="00967093">
        <w:t>/Teleconference</w:t>
      </w:r>
      <w:r>
        <w:t xml:space="preserve"> </w:t>
      </w:r>
    </w:p>
    <w:p w:rsidR="00B62597" w:rsidRPr="00B62597" w:rsidP="00755096" w14:paraId="7132EBC3" w14:textId="61A5737F">
      <w:pPr>
        <w:pStyle w:val="MeetingDetails"/>
      </w:pPr>
      <w:r>
        <w:t>August 27</w:t>
      </w:r>
      <w:r w:rsidR="002B2F98">
        <w:t xml:space="preserve">, </w:t>
      </w:r>
      <w:r w:rsidR="002F6131">
        <w:t>2024</w:t>
      </w:r>
    </w:p>
    <w:p w:rsidR="00B62597" w:rsidRPr="00B62597" w:rsidP="00755096" w14:paraId="498B7979" w14:textId="112AB641">
      <w:pPr>
        <w:pStyle w:val="MeetingDetails"/>
        <w:rPr>
          <w:sz w:val="28"/>
          <w:u w:val="single"/>
        </w:rPr>
      </w:pPr>
      <w:r>
        <w:t>9</w:t>
      </w:r>
      <w:r w:rsidR="009E110D">
        <w:t xml:space="preserve">:00 p.m. – </w:t>
      </w:r>
      <w:r w:rsidR="0000614C">
        <w:t>3:15</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44367B8E">
      <w:pPr>
        <w:pStyle w:val="SecondaryHeading-Numbered"/>
        <w:rPr>
          <w:b w:val="0"/>
        </w:rPr>
      </w:pPr>
      <w:r>
        <w:rPr>
          <w:b w:val="0"/>
        </w:rPr>
        <w:t>Dave Anders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70A517ED">
      <w:pPr>
        <w:pStyle w:val="SecondaryHeading-Numbered"/>
        <w:rPr>
          <w:b w:val="0"/>
        </w:rPr>
      </w:pPr>
      <w:r>
        <w:rPr>
          <w:b w:val="0"/>
        </w:rPr>
        <w:t xml:space="preserve">Review and approve draft minutes from the August 8, 2024 Special TEAC meeting. </w:t>
      </w:r>
    </w:p>
    <w:p w:rsidR="005E6E94" w:rsidRPr="005E6E94" w:rsidP="005E6E94" w14:paraId="574CEE54" w14:textId="6FA886CA">
      <w:pPr>
        <w:pStyle w:val="SecondaryHeading-Numbered"/>
        <w:rPr>
          <w:b w:val="0"/>
        </w:rPr>
      </w:pPr>
      <w:r>
        <w:rPr>
          <w:b w:val="0"/>
        </w:rPr>
        <w:t>Dave Anders</w:t>
      </w:r>
      <w:r>
        <w:rPr>
          <w:b w:val="0"/>
        </w:rPr>
        <w:t xml:space="preserve"> will </w:t>
      </w:r>
      <w:r w:rsidR="0000614C">
        <w:rPr>
          <w:b w:val="0"/>
        </w:rPr>
        <w:t>speak to</w:t>
      </w:r>
      <w:r>
        <w:rPr>
          <w:b w:val="0"/>
        </w:rPr>
        <w:t xml:space="preserve"> the </w:t>
      </w:r>
      <w:r>
        <w:rPr>
          <w:b w:val="0"/>
        </w:rPr>
        <w:t>results of the presenter request forms</w:t>
      </w:r>
      <w:r>
        <w:rPr>
          <w:b w:val="0"/>
        </w:rPr>
        <w:t xml:space="preserve"> and related logistics.  </w:t>
      </w:r>
    </w:p>
    <w:p w:rsidR="001D3B68" w:rsidRPr="00DB29E9" w:rsidP="007C2954" w14:paraId="3D6000BB" w14:textId="52906A9C">
      <w:pPr>
        <w:pStyle w:val="PrimaryHeading"/>
      </w:pPr>
      <w:r>
        <w:t>Education</w:t>
      </w:r>
      <w:r>
        <w:t xml:space="preserve"> (</w:t>
      </w:r>
      <w:r w:rsidR="00A8417A">
        <w:t>9</w:t>
      </w:r>
      <w:r w:rsidR="00BB25B1">
        <w:t>:</w:t>
      </w:r>
      <w:r w:rsidR="00F72A28">
        <w:t>1</w:t>
      </w:r>
      <w:r w:rsidR="00BB25B1">
        <w:t>0-</w:t>
      </w:r>
      <w:r w:rsidR="0000614C">
        <w:t>3:15</w:t>
      </w:r>
      <w:r>
        <w:t>)</w:t>
      </w:r>
    </w:p>
    <w:p w:rsidR="005E34D6" w:rsidP="00917386" w14:paraId="156217F7" w14:textId="1DB2AF2C">
      <w:pPr>
        <w:pStyle w:val="SecondaryHeading-Numbered"/>
        <w:rPr>
          <w:b w:val="0"/>
          <w:u w:val="single"/>
        </w:rPr>
      </w:pPr>
      <w:r>
        <w:rPr>
          <w:b w:val="0"/>
          <w:u w:val="single"/>
        </w:rPr>
        <w:t xml:space="preserve">FERC Order 1920 Timeline (9:10-9:20) </w:t>
      </w:r>
    </w:p>
    <w:p w:rsidR="005E34D6" w:rsidP="005E34D6" w14:paraId="752EA74A" w14:textId="38BB51B4">
      <w:pPr>
        <w:pStyle w:val="SecondaryHeading-Numbered"/>
        <w:numPr>
          <w:ilvl w:val="0"/>
          <w:numId w:val="0"/>
        </w:numPr>
        <w:ind w:left="360"/>
        <w:rPr>
          <w:b w:val="0"/>
          <w:u w:val="single"/>
        </w:rPr>
      </w:pPr>
      <w:r w:rsidRPr="006E0143">
        <w:rPr>
          <w:b w:val="0"/>
        </w:rPr>
        <w:t>Emmanuele Bobbio</w:t>
      </w:r>
      <w:r>
        <w:rPr>
          <w:b w:val="0"/>
        </w:rPr>
        <w:t>, PJM,</w:t>
      </w:r>
      <w:r w:rsidRPr="006E0143">
        <w:rPr>
          <w:b w:val="0"/>
        </w:rPr>
        <w:t xml:space="preserve"> will </w:t>
      </w:r>
      <w:r>
        <w:rPr>
          <w:b w:val="0"/>
        </w:rPr>
        <w:t>review</w:t>
      </w:r>
      <w:r w:rsidRPr="006E0143">
        <w:rPr>
          <w:b w:val="0"/>
        </w:rPr>
        <w:t xml:space="preserve"> PJM’s FERC Order No. 1920 activities plan.</w:t>
      </w:r>
    </w:p>
    <w:p w:rsidR="00A8417A" w:rsidRPr="00A8417A" w:rsidP="00917386" w14:paraId="5322A949" w14:textId="10EE373F">
      <w:pPr>
        <w:pStyle w:val="SecondaryHeading-Numbered"/>
        <w:rPr>
          <w:b w:val="0"/>
          <w:u w:val="single"/>
        </w:rPr>
      </w:pPr>
      <w:r>
        <w:rPr>
          <w:b w:val="0"/>
          <w:u w:val="single"/>
        </w:rPr>
        <w:t>Lo</w:t>
      </w:r>
      <w:r w:rsidRPr="00A8417A">
        <w:rPr>
          <w:b w:val="0"/>
          <w:u w:val="single"/>
        </w:rPr>
        <w:t>ng-</w:t>
      </w:r>
      <w:r w:rsidR="00124C29">
        <w:rPr>
          <w:b w:val="0"/>
          <w:u w:val="single"/>
        </w:rPr>
        <w:t>T</w:t>
      </w:r>
      <w:r w:rsidRPr="00A8417A">
        <w:rPr>
          <w:b w:val="0"/>
          <w:u w:val="single"/>
        </w:rPr>
        <w:t xml:space="preserve">erm Regional Transmission Planning </w:t>
      </w:r>
      <w:r w:rsidR="005E34D6">
        <w:rPr>
          <w:b w:val="0"/>
          <w:u w:val="single"/>
        </w:rPr>
        <w:t>(9:20-11:3</w:t>
      </w:r>
      <w:r w:rsidRPr="00A8417A">
        <w:rPr>
          <w:b w:val="0"/>
          <w:u w:val="single"/>
        </w:rPr>
        <w:t>0)</w:t>
      </w:r>
    </w:p>
    <w:p w:rsidR="00A506A9" w:rsidP="00A8417A" w14:paraId="02CE9942" w14:textId="22B64B95">
      <w:pPr>
        <w:pStyle w:val="SecondaryHeading-Numbered"/>
        <w:numPr>
          <w:ilvl w:val="0"/>
          <w:numId w:val="0"/>
        </w:numPr>
        <w:ind w:left="360"/>
        <w:rPr>
          <w:b w:val="0"/>
        </w:rPr>
      </w:pPr>
      <w:r w:rsidRPr="006E0143">
        <w:rPr>
          <w:b w:val="0"/>
        </w:rPr>
        <w:t>Emmanuele B</w:t>
      </w:r>
      <w:r w:rsidR="00A8417A">
        <w:rPr>
          <w:b w:val="0"/>
        </w:rPr>
        <w:t>obbio, PJM, will provide an overview of Section III of the FERC Order No. 1920</w:t>
      </w:r>
      <w:r w:rsidRPr="006E0143">
        <w:rPr>
          <w:b w:val="0"/>
        </w:rPr>
        <w:t>.</w:t>
      </w:r>
      <w:r w:rsidRPr="006E0143" w:rsidR="00A47BC7">
        <w:rPr>
          <w:b w:val="0"/>
        </w:rPr>
        <w:t xml:space="preserve"> </w:t>
      </w:r>
    </w:p>
    <w:p w:rsidR="00A8417A" w:rsidRPr="00A8417A" w:rsidP="00917386" w14:paraId="45324835" w14:textId="17208073">
      <w:pPr>
        <w:pStyle w:val="SecondaryHeading-Numbered"/>
        <w:rPr>
          <w:b w:val="0"/>
          <w:u w:val="single"/>
        </w:rPr>
      </w:pPr>
      <w:r w:rsidRPr="00A8417A">
        <w:rPr>
          <w:b w:val="0"/>
          <w:u w:val="single"/>
        </w:rPr>
        <w:t>I</w:t>
      </w:r>
      <w:r>
        <w:rPr>
          <w:b w:val="0"/>
          <w:u w:val="single"/>
        </w:rPr>
        <w:t>n</w:t>
      </w:r>
      <w:r w:rsidRPr="00A8417A">
        <w:rPr>
          <w:b w:val="0"/>
          <w:u w:val="single"/>
        </w:rPr>
        <w:t>terconnection Process and FERC Order 1000 Planning (</w:t>
      </w:r>
      <w:r w:rsidR="005E34D6">
        <w:rPr>
          <w:b w:val="0"/>
          <w:u w:val="single"/>
        </w:rPr>
        <w:t>11:30-12:00</w:t>
      </w:r>
      <w:r>
        <w:rPr>
          <w:b w:val="0"/>
          <w:u w:val="single"/>
        </w:rPr>
        <w:t xml:space="preserve">) </w:t>
      </w:r>
    </w:p>
    <w:p w:rsidR="00A8417A" w:rsidP="00A8417A" w14:paraId="143BFB06" w14:textId="731EA7EE">
      <w:pPr>
        <w:pStyle w:val="SecondaryHeading-Numbered"/>
        <w:numPr>
          <w:ilvl w:val="0"/>
          <w:numId w:val="0"/>
        </w:numPr>
        <w:ind w:left="360"/>
        <w:rPr>
          <w:b w:val="0"/>
        </w:rPr>
      </w:pPr>
      <w:r>
        <w:rPr>
          <w:b w:val="0"/>
        </w:rPr>
        <w:t xml:space="preserve">Ed Franks, PJM, will provide an overview of Section IV of the FERC Order No. 1920. </w:t>
      </w:r>
    </w:p>
    <w:p w:rsidR="005E34D6" w:rsidRPr="005E34D6" w:rsidP="005E34D6" w14:paraId="7A1D40AE" w14:textId="05ED4F3F">
      <w:pPr>
        <w:pStyle w:val="SecondaryHeading-Numbered"/>
        <w:numPr>
          <w:ilvl w:val="0"/>
          <w:numId w:val="0"/>
        </w:numPr>
      </w:pPr>
      <w:r w:rsidRPr="005E34D6">
        <w:t xml:space="preserve">Lunch </w:t>
      </w:r>
      <w:r>
        <w:t xml:space="preserve">12:00-1:00 </w:t>
      </w:r>
    </w:p>
    <w:p w:rsidR="00A8417A" w:rsidRPr="00A8417A" w:rsidP="00A8417A" w14:paraId="15FD8A45" w14:textId="1AD5956C">
      <w:pPr>
        <w:pStyle w:val="SecondaryHeading-Numbered"/>
        <w:rPr>
          <w:b w:val="0"/>
          <w:u w:val="single"/>
        </w:rPr>
      </w:pPr>
      <w:r w:rsidRPr="00A8417A">
        <w:rPr>
          <w:b w:val="0"/>
          <w:u w:val="single"/>
        </w:rPr>
        <w:t>Alternative Transmission Technologies (</w:t>
      </w:r>
      <w:r w:rsidR="005E34D6">
        <w:rPr>
          <w:b w:val="0"/>
          <w:u w:val="single"/>
        </w:rPr>
        <w:t>1:00-1:45</w:t>
      </w:r>
      <w:r>
        <w:rPr>
          <w:b w:val="0"/>
          <w:u w:val="single"/>
        </w:rPr>
        <w:t>)</w:t>
      </w:r>
    </w:p>
    <w:p w:rsidR="00A8417A" w:rsidP="00A8417A" w14:paraId="64BEE75B" w14:textId="51E20D81">
      <w:pPr>
        <w:pStyle w:val="SecondaryHeading-Numbered"/>
        <w:numPr>
          <w:ilvl w:val="0"/>
          <w:numId w:val="0"/>
        </w:numPr>
        <w:ind w:left="360"/>
        <w:rPr>
          <w:b w:val="0"/>
        </w:rPr>
      </w:pPr>
      <w:r>
        <w:rPr>
          <w:b w:val="0"/>
        </w:rPr>
        <w:t>Chris Callaghan and Stan Sliwa, PJM, will provide an overview of Section V of the FERC Order No. 1920.</w:t>
      </w:r>
    </w:p>
    <w:p w:rsidR="00A8417A" w:rsidP="00A8417A" w14:paraId="5303B58E" w14:textId="1D82822B">
      <w:pPr>
        <w:pStyle w:val="SecondaryHeading-Numbered"/>
        <w:rPr>
          <w:b w:val="0"/>
          <w:u w:val="single"/>
        </w:rPr>
      </w:pPr>
      <w:r>
        <w:rPr>
          <w:b w:val="0"/>
          <w:u w:val="single"/>
        </w:rPr>
        <w:t xml:space="preserve">Local Transmission Planning Inputs (1:45-2:30) </w:t>
      </w:r>
    </w:p>
    <w:p w:rsidR="005E34D6" w:rsidP="005E34D6" w14:paraId="30A12DF8" w14:textId="3F0EBF79">
      <w:pPr>
        <w:pStyle w:val="SecondaryHeading-Numbered"/>
        <w:numPr>
          <w:ilvl w:val="0"/>
          <w:numId w:val="0"/>
        </w:numPr>
        <w:ind w:left="360"/>
        <w:rPr>
          <w:b w:val="0"/>
        </w:rPr>
      </w:pPr>
      <w:r>
        <w:rPr>
          <w:b w:val="0"/>
        </w:rPr>
        <w:t xml:space="preserve">Mike Herman, PJM, will provide an overview of Sections VII, VIII, and IX of the FERC Order No. 1920. </w:t>
      </w:r>
    </w:p>
    <w:p w:rsidR="005E34D6" w:rsidRPr="005E34D6" w:rsidP="005E34D6" w14:paraId="33D448C5" w14:textId="103967E0">
      <w:pPr>
        <w:pStyle w:val="SecondaryHeading-Numbered"/>
        <w:rPr>
          <w:b w:val="0"/>
          <w:u w:val="single"/>
        </w:rPr>
      </w:pPr>
      <w:r w:rsidRPr="005E34D6">
        <w:rPr>
          <w:b w:val="0"/>
          <w:u w:val="single"/>
        </w:rPr>
        <w:t>Interregional Transmission Coordination (</w:t>
      </w:r>
      <w:r>
        <w:rPr>
          <w:b w:val="0"/>
          <w:u w:val="single"/>
        </w:rPr>
        <w:t>2:30-2:50)</w:t>
      </w:r>
    </w:p>
    <w:p w:rsidR="005E34D6" w:rsidP="005E34D6" w14:paraId="117F70A8" w14:textId="2C1C84C9">
      <w:pPr>
        <w:pStyle w:val="SecondaryHeading-Numbered"/>
        <w:numPr>
          <w:ilvl w:val="0"/>
          <w:numId w:val="0"/>
        </w:numPr>
        <w:ind w:left="360"/>
        <w:rPr>
          <w:b w:val="0"/>
        </w:rPr>
      </w:pPr>
      <w:r>
        <w:rPr>
          <w:b w:val="0"/>
        </w:rPr>
        <w:t xml:space="preserve">Jonathan Kern, PJM, will provide an overview of Section X of the FERC Order No. 1920. </w:t>
      </w:r>
    </w:p>
    <w:p w:rsidR="005E34D6" w:rsidRPr="005E34D6" w:rsidP="005E34D6" w14:paraId="5D1EDBD9" w14:textId="02B0EE5E">
      <w:pPr>
        <w:pStyle w:val="SecondaryHeading-Numbered"/>
        <w:rPr>
          <w:b w:val="0"/>
          <w:u w:val="single"/>
        </w:rPr>
      </w:pPr>
      <w:r w:rsidRPr="005E34D6">
        <w:rPr>
          <w:b w:val="0"/>
          <w:u w:val="single"/>
        </w:rPr>
        <w:t>Compliance Procedures (2:50-</w:t>
      </w:r>
      <w:r w:rsidR="00337896">
        <w:rPr>
          <w:b w:val="0"/>
          <w:u w:val="single"/>
        </w:rPr>
        <w:t>3:05)</w:t>
      </w:r>
    </w:p>
    <w:p w:rsidR="005E34D6" w:rsidP="005E34D6" w14:paraId="538D23AB" w14:textId="7A20A074">
      <w:pPr>
        <w:pStyle w:val="SecondaryHeading-Numbered"/>
        <w:numPr>
          <w:ilvl w:val="0"/>
          <w:numId w:val="0"/>
        </w:numPr>
        <w:ind w:left="360"/>
        <w:rPr>
          <w:b w:val="0"/>
        </w:rPr>
      </w:pPr>
      <w:r>
        <w:rPr>
          <w:b w:val="0"/>
        </w:rPr>
        <w:t>As</w:t>
      </w:r>
      <w:r w:rsidR="00337896">
        <w:rPr>
          <w:b w:val="0"/>
        </w:rPr>
        <w:t>ya Staevska, PJM, will provide an overview of Section XI of the FERC Order No. 1920.</w:t>
      </w:r>
    </w:p>
    <w:p w:rsidR="005E34D6" w:rsidRPr="00337896" w:rsidP="00337896" w14:paraId="159EE522" w14:textId="41F19ED4">
      <w:pPr>
        <w:pStyle w:val="SecondaryHeading-Numbered"/>
        <w:rPr>
          <w:b w:val="0"/>
          <w:u w:val="single"/>
        </w:rPr>
      </w:pPr>
      <w:r w:rsidRPr="00337896">
        <w:rPr>
          <w:b w:val="0"/>
          <w:u w:val="single"/>
        </w:rPr>
        <w:t>Next Steps (3:05-3:15)</w:t>
      </w:r>
    </w:p>
    <w:p w:rsidR="001B2242" w:rsidRPr="006E0143" w:rsidP="00A8417A" w14:paraId="18E832D7" w14:textId="4A1F5A78">
      <w:pPr>
        <w:pStyle w:val="SecondaryHeading-Numbered"/>
        <w:numPr>
          <w:ilvl w:val="0"/>
          <w:numId w:val="0"/>
        </w:numPr>
        <w:ind w:left="360"/>
        <w:rPr>
          <w:b w:val="0"/>
        </w:rPr>
      </w:pPr>
      <w:r w:rsidRPr="006E0143">
        <w:rPr>
          <w:b w:val="0"/>
        </w:rPr>
        <w:t xml:space="preserve">Michele Greening will discuss the next steps </w:t>
      </w:r>
      <w:r w:rsidR="00337896">
        <w:rPr>
          <w:b w:val="0"/>
        </w:rPr>
        <w:t xml:space="preserve">for </w:t>
      </w:r>
      <w:r w:rsidR="00000B1B">
        <w:rPr>
          <w:b w:val="0"/>
        </w:rPr>
        <w:t>the Special TEAC meetings</w:t>
      </w:r>
      <w:r w:rsidRPr="006E0143" w:rsidR="00A47BC7">
        <w:rPr>
          <w:b w:val="0"/>
        </w:rPr>
        <w:t xml:space="preserve">. </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EF31AC1" w14:textId="491A913D">
            <w:pPr>
              <w:pStyle w:val="PrimaryHeading"/>
              <w:spacing w:after="0"/>
              <w:rPr>
                <w:b/>
              </w:rPr>
            </w:pPr>
            <w:r>
              <w:rPr>
                <w:b/>
              </w:rPr>
              <w:t>Future Agenda Items (3:15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9D7613" w14:paraId="0329ADA8" w14:textId="77777777">
            <w:pPr>
              <w:pStyle w:val="AttendeesList"/>
              <w:rPr>
                <w:b w:val="0"/>
              </w:rPr>
            </w:pPr>
            <w:r w:rsidRPr="00BB25B1">
              <w:rPr>
                <w:b w:val="0"/>
              </w:rPr>
              <w:t>Stakeholder Presentations</w:t>
            </w:r>
          </w:p>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9818A11"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494B39AC" w14:textId="77777777">
            <w:pPr>
              <w:pStyle w:val="DisclaimerHeading"/>
              <w:keepLines/>
              <w:spacing w:before="40" w:after="40" w:line="220" w:lineRule="exact"/>
              <w:jc w:val="left"/>
              <w:rPr>
                <w:b w:val="0"/>
                <w:i w:val="0"/>
                <w:color w:val="auto"/>
                <w:sz w:val="18"/>
                <w:szCs w:val="18"/>
              </w:rPr>
            </w:pPr>
            <w:r>
              <w:rPr>
                <w:b w:val="0"/>
                <w:i w:val="0"/>
                <w:color w:val="auto"/>
                <w:sz w:val="18"/>
                <w:szCs w:val="18"/>
              </w:rPr>
              <w:t>09/06/2024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5F066B4"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2A104D2" w14:textId="77777777">
            <w:pPr>
              <w:pStyle w:val="DisclaimerHeading"/>
              <w:keepLines/>
              <w:spacing w:before="40" w:after="40" w:line="220" w:lineRule="exact"/>
              <w:rPr>
                <w:b w:val="0"/>
                <w:color w:val="auto"/>
                <w:sz w:val="18"/>
                <w:szCs w:val="18"/>
              </w:rPr>
            </w:pPr>
            <w:r>
              <w:rPr>
                <w:b w:val="0"/>
                <w:color w:val="auto"/>
                <w:sz w:val="18"/>
                <w:szCs w:val="18"/>
              </w:rPr>
              <w:t xml:space="preserve">Webex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000B1B" w:rsidP="00000B1B" w14:paraId="0642C8AE" w14:textId="10D89B73">
            <w:pPr>
              <w:pStyle w:val="DisclaimerHeading"/>
              <w:keepLines/>
              <w:spacing w:before="40" w:after="40" w:line="220" w:lineRule="exact"/>
              <w:jc w:val="center"/>
              <w:rPr>
                <w:b w:val="0"/>
                <w:i/>
                <w:color w:val="auto"/>
                <w:sz w:val="18"/>
                <w:szCs w:val="18"/>
              </w:rPr>
            </w:pPr>
            <w:r w:rsidRPr="00000B1B">
              <w:rPr>
                <w:b w:val="0"/>
                <w:i/>
                <w:color w:val="FF0000"/>
                <w:sz w:val="18"/>
                <w:szCs w:val="18"/>
              </w:rPr>
              <w:t>08/</w:t>
            </w:r>
            <w:r w:rsidRPr="00000B1B" w:rsidR="00000B1B">
              <w:rPr>
                <w:b w:val="0"/>
                <w:i/>
                <w:color w:val="FF0000"/>
                <w:sz w:val="18"/>
                <w:szCs w:val="18"/>
              </w:rPr>
              <w:t>30</w:t>
            </w:r>
            <w:r w:rsidR="007F2F94">
              <w:rPr>
                <w:b w:val="0"/>
                <w:i/>
                <w:color w:val="FF0000"/>
                <w:sz w:val="18"/>
                <w:szCs w:val="18"/>
              </w:rPr>
              <w:t>/</w:t>
            </w:r>
            <w:r w:rsidRPr="00000B1B">
              <w:rPr>
                <w:b w:val="0"/>
                <w:i/>
                <w:color w:val="FF0000"/>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73CBA" w14:paraId="4B196D43" w14:textId="77777777">
            <w:pPr>
              <w:pStyle w:val="DisclaimerHeading"/>
              <w:keepLines/>
              <w:spacing w:before="40" w:after="40" w:line="220" w:lineRule="exact"/>
              <w:jc w:val="center"/>
              <w:rPr>
                <w:b w:val="0"/>
                <w:color w:val="auto"/>
                <w:sz w:val="18"/>
                <w:szCs w:val="18"/>
              </w:rPr>
            </w:pPr>
            <w:r>
              <w:rPr>
                <w:b w:val="0"/>
                <w:color w:val="auto"/>
                <w:sz w:val="18"/>
                <w:szCs w:val="18"/>
              </w:rPr>
              <w:t>09/03/2024</w:t>
            </w:r>
          </w:p>
        </w:tc>
      </w:tr>
      <w:tr w14:paraId="5204BC4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699A8923" w14:textId="77777777">
            <w:pPr>
              <w:pStyle w:val="DisclaimerHeading"/>
              <w:keepLines/>
              <w:spacing w:before="40" w:after="40" w:line="220" w:lineRule="exact"/>
              <w:jc w:val="left"/>
              <w:rPr>
                <w:b w:val="0"/>
                <w:i w:val="0"/>
                <w:color w:val="auto"/>
                <w:sz w:val="18"/>
                <w:szCs w:val="18"/>
              </w:rPr>
            </w:pPr>
            <w:r>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88BF12F"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BB0805F" w14:textId="77777777">
            <w:pPr>
              <w:pStyle w:val="DisclaimerHeading"/>
              <w:keepLines/>
              <w:spacing w:before="40" w:after="40" w:line="220" w:lineRule="exact"/>
              <w:rPr>
                <w:b w:val="0"/>
                <w:color w:val="auto"/>
                <w:sz w:val="18"/>
                <w:szCs w:val="18"/>
              </w:rPr>
            </w:pPr>
            <w:r>
              <w:rPr>
                <w:b w:val="0"/>
                <w:color w:val="auto"/>
                <w:sz w:val="18"/>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DF1112" w:rsidRPr="00000B1B" w:rsidP="00000B1B" w14:paraId="1D39B6B9" w14:textId="3645DA2D">
            <w:pPr>
              <w:pStyle w:val="DisclaimerHeading"/>
              <w:keepLines/>
              <w:spacing w:before="40" w:after="40" w:line="220" w:lineRule="exact"/>
              <w:jc w:val="center"/>
              <w:rPr>
                <w:b w:val="0"/>
                <w:i/>
                <w:color w:val="auto"/>
                <w:sz w:val="18"/>
                <w:szCs w:val="18"/>
              </w:rPr>
            </w:pPr>
            <w:r w:rsidRPr="00000B1B">
              <w:rPr>
                <w:b w:val="0"/>
                <w:i/>
                <w:color w:val="FF0000"/>
                <w:sz w:val="18"/>
                <w:szCs w:val="18"/>
              </w:rPr>
              <w:t>09/10</w:t>
            </w:r>
            <w:r w:rsidRPr="00000B1B" w:rsidR="00C73CBA">
              <w:rPr>
                <w:b w:val="0"/>
                <w:i/>
                <w:color w:val="FF0000"/>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73CBA" w14:paraId="4A239480" w14:textId="77777777">
            <w:pPr>
              <w:pStyle w:val="DisclaimerHeading"/>
              <w:keepLines/>
              <w:spacing w:before="40" w:after="40" w:line="220" w:lineRule="exact"/>
              <w:jc w:val="center"/>
              <w:rPr>
                <w:b w:val="0"/>
                <w:color w:val="auto"/>
                <w:sz w:val="18"/>
                <w:szCs w:val="18"/>
              </w:rPr>
            </w:pPr>
            <w:r>
              <w:rPr>
                <w:b w:val="0"/>
                <w:color w:val="auto"/>
                <w:sz w:val="18"/>
                <w:szCs w:val="18"/>
              </w:rPr>
              <w:t>09/11/2024</w:t>
            </w:r>
          </w:p>
        </w:tc>
      </w:tr>
      <w:tr w14:paraId="2E2EEB8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25B1" w:rsidP="00CE451E" w14:paraId="1AB8D2F5" w14:textId="77777777">
            <w:pPr>
              <w:pStyle w:val="DisclaimerHeading"/>
              <w:keepLines/>
              <w:spacing w:before="40" w:after="40" w:line="220" w:lineRule="exact"/>
              <w:jc w:val="left"/>
              <w:rPr>
                <w:b w:val="0"/>
                <w:i w:val="0"/>
                <w:color w:val="auto"/>
                <w:sz w:val="18"/>
                <w:szCs w:val="18"/>
              </w:rPr>
            </w:pPr>
            <w:r w:rsidRPr="00BB25B1">
              <w:rPr>
                <w:b w:val="0"/>
                <w:i w:val="0"/>
                <w:color w:val="auto"/>
                <w:sz w:val="18"/>
                <w:szCs w:val="18"/>
              </w:rPr>
              <w:t>10/01/2024</w:t>
            </w:r>
          </w:p>
        </w:tc>
        <w:tc>
          <w:tcPr>
            <w:tcW w:w="983" w:type="dxa"/>
            <w:tcBorders>
              <w:top w:val="single" w:sz="4" w:space="0" w:color="auto"/>
              <w:left w:val="single" w:sz="4" w:space="0" w:color="auto"/>
              <w:bottom w:val="single" w:sz="4" w:space="0" w:color="auto"/>
              <w:right w:val="single" w:sz="4" w:space="0" w:color="auto"/>
            </w:tcBorders>
          </w:tcPr>
          <w:p w:rsidR="00DF1112" w:rsidRPr="00BB25B1" w:rsidP="00CE451E" w14:paraId="3F81B395" w14:textId="77777777">
            <w:pPr>
              <w:pStyle w:val="DisclaimerHeading"/>
              <w:keepLines/>
              <w:spacing w:before="40" w:after="40" w:line="220" w:lineRule="exact"/>
              <w:rPr>
                <w:b w:val="0"/>
                <w:color w:val="auto"/>
                <w:sz w:val="18"/>
                <w:szCs w:val="18"/>
              </w:rPr>
            </w:pPr>
            <w:r w:rsidRPr="00BB25B1">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BB25B1" w:rsidP="00CE451E" w14:paraId="6DD325E8" w14:textId="77777777">
            <w:pPr>
              <w:pStyle w:val="DisclaimerHeading"/>
              <w:keepLines/>
              <w:spacing w:before="40" w:after="40" w:line="220" w:lineRule="exact"/>
              <w:rPr>
                <w:b w:val="0"/>
                <w:color w:val="auto"/>
                <w:sz w:val="18"/>
                <w:szCs w:val="18"/>
              </w:rPr>
            </w:pPr>
            <w:r w:rsidRPr="00BB25B1">
              <w:rPr>
                <w:b w:val="0"/>
                <w:color w:val="auto"/>
                <w:sz w:val="18"/>
                <w:szCs w:val="18"/>
              </w:rPr>
              <w:t xml:space="preserve">Webex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BB25B1" w:rsidP="00C73CBA" w14:paraId="586219C2" w14:textId="77777777">
            <w:pPr>
              <w:pStyle w:val="DisclaimerHeading"/>
              <w:keepLines/>
              <w:spacing w:before="40" w:after="40" w:line="220" w:lineRule="exact"/>
              <w:jc w:val="center"/>
              <w:rPr>
                <w:b w:val="0"/>
                <w:color w:val="auto"/>
                <w:sz w:val="18"/>
                <w:szCs w:val="18"/>
              </w:rPr>
            </w:pPr>
            <w:r>
              <w:rPr>
                <w:b w:val="0"/>
                <w:color w:val="auto"/>
                <w:sz w:val="18"/>
                <w:szCs w:val="18"/>
              </w:rPr>
              <w:t>09/23/2024</w:t>
            </w:r>
          </w:p>
        </w:tc>
        <w:tc>
          <w:tcPr>
            <w:tcW w:w="1529" w:type="dxa"/>
            <w:tcBorders>
              <w:top w:val="single" w:sz="4" w:space="0" w:color="auto"/>
              <w:left w:val="single" w:sz="4" w:space="0" w:color="auto"/>
              <w:bottom w:val="single" w:sz="4" w:space="0" w:color="auto"/>
              <w:right w:val="single" w:sz="4" w:space="0" w:color="auto"/>
            </w:tcBorders>
          </w:tcPr>
          <w:p w:rsidR="00DF1112" w:rsidRPr="00BB25B1" w:rsidP="00C73CBA" w14:paraId="468317A5" w14:textId="77777777">
            <w:pPr>
              <w:pStyle w:val="DisclaimerHeading"/>
              <w:keepLines/>
              <w:spacing w:before="40" w:after="40" w:line="220" w:lineRule="exact"/>
              <w:jc w:val="center"/>
              <w:rPr>
                <w:b w:val="0"/>
                <w:color w:val="auto"/>
                <w:sz w:val="18"/>
                <w:szCs w:val="18"/>
              </w:rPr>
            </w:pPr>
            <w:r>
              <w:rPr>
                <w:b w:val="0"/>
                <w:color w:val="auto"/>
                <w:sz w:val="18"/>
                <w:szCs w:val="18"/>
              </w:rPr>
              <w:t>09/26/2024</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 xml:space="preserve">Webex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6224A4BB">
      <w:pPr>
        <w:pStyle w:val="Author"/>
      </w:pPr>
      <w:r>
        <w:t xml:space="preserve">Author: </w:t>
      </w:r>
      <w:r w:rsidR="006E0143">
        <w:t>M. Greening</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Participant Use of Webex Chat:</w:t>
      </w:r>
    </w:p>
    <w:p w:rsidR="00D827A6" w:rsidP="00D827A6" w14:paraId="42F3D44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2DFE9C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5944">
      <w:rPr>
        <w:rStyle w:val="PageNumber"/>
        <w:noProof/>
      </w:rPr>
      <w:t>1</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7F49"/>
    <w:rsid w:val="000333FF"/>
    <w:rsid w:val="000538D7"/>
    <w:rsid w:val="0006798D"/>
    <w:rsid w:val="00092135"/>
    <w:rsid w:val="00096230"/>
    <w:rsid w:val="001012B1"/>
    <w:rsid w:val="00117AF9"/>
    <w:rsid w:val="00121F58"/>
    <w:rsid w:val="00124C29"/>
    <w:rsid w:val="001678E8"/>
    <w:rsid w:val="00170E02"/>
    <w:rsid w:val="001B2242"/>
    <w:rsid w:val="001C0CC0"/>
    <w:rsid w:val="001D3B68"/>
    <w:rsid w:val="00200A1B"/>
    <w:rsid w:val="002113BD"/>
    <w:rsid w:val="00251109"/>
    <w:rsid w:val="0025139E"/>
    <w:rsid w:val="002A64E7"/>
    <w:rsid w:val="002B2CB6"/>
    <w:rsid w:val="002B2F98"/>
    <w:rsid w:val="002C6057"/>
    <w:rsid w:val="002F6131"/>
    <w:rsid w:val="00305238"/>
    <w:rsid w:val="003251CE"/>
    <w:rsid w:val="00332A12"/>
    <w:rsid w:val="00337321"/>
    <w:rsid w:val="00337896"/>
    <w:rsid w:val="00394850"/>
    <w:rsid w:val="003B218C"/>
    <w:rsid w:val="003B55E1"/>
    <w:rsid w:val="003C17E2"/>
    <w:rsid w:val="003C3320"/>
    <w:rsid w:val="003D7E5C"/>
    <w:rsid w:val="003E7A73"/>
    <w:rsid w:val="003F046E"/>
    <w:rsid w:val="0046043F"/>
    <w:rsid w:val="00470F61"/>
    <w:rsid w:val="00491490"/>
    <w:rsid w:val="00494494"/>
    <w:rsid w:val="004969FA"/>
    <w:rsid w:val="004F3D57"/>
    <w:rsid w:val="00527104"/>
    <w:rsid w:val="00564DEE"/>
    <w:rsid w:val="0057441E"/>
    <w:rsid w:val="005A5D0D"/>
    <w:rsid w:val="005D6D05"/>
    <w:rsid w:val="005E34D6"/>
    <w:rsid w:val="005E6E94"/>
    <w:rsid w:val="005F6EB6"/>
    <w:rsid w:val="006024A0"/>
    <w:rsid w:val="00602967"/>
    <w:rsid w:val="00606F11"/>
    <w:rsid w:val="006C738F"/>
    <w:rsid w:val="006E0143"/>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7F2F94"/>
    <w:rsid w:val="00813B57"/>
    <w:rsid w:val="00837B12"/>
    <w:rsid w:val="00841282"/>
    <w:rsid w:val="008552A3"/>
    <w:rsid w:val="00882652"/>
    <w:rsid w:val="008C557C"/>
    <w:rsid w:val="00911156"/>
    <w:rsid w:val="00914902"/>
    <w:rsid w:val="00917386"/>
    <w:rsid w:val="0095194C"/>
    <w:rsid w:val="00967093"/>
    <w:rsid w:val="0097702E"/>
    <w:rsid w:val="00991528"/>
    <w:rsid w:val="009A5430"/>
    <w:rsid w:val="009A6271"/>
    <w:rsid w:val="009C15C4"/>
    <w:rsid w:val="009C7250"/>
    <w:rsid w:val="009D7613"/>
    <w:rsid w:val="009E110D"/>
    <w:rsid w:val="009F53F9"/>
    <w:rsid w:val="00A05391"/>
    <w:rsid w:val="00A317A9"/>
    <w:rsid w:val="00A36FEA"/>
    <w:rsid w:val="00A41149"/>
    <w:rsid w:val="00A47BC7"/>
    <w:rsid w:val="00A506A9"/>
    <w:rsid w:val="00A56D57"/>
    <w:rsid w:val="00A8417A"/>
    <w:rsid w:val="00A86205"/>
    <w:rsid w:val="00A931C3"/>
    <w:rsid w:val="00AC2247"/>
    <w:rsid w:val="00AE21FC"/>
    <w:rsid w:val="00B1436A"/>
    <w:rsid w:val="00B16D95"/>
    <w:rsid w:val="00B20316"/>
    <w:rsid w:val="00B34E3C"/>
    <w:rsid w:val="00B42FAE"/>
    <w:rsid w:val="00B53FE7"/>
    <w:rsid w:val="00B62597"/>
    <w:rsid w:val="00BA6146"/>
    <w:rsid w:val="00BB25B1"/>
    <w:rsid w:val="00BB531B"/>
    <w:rsid w:val="00BB6921"/>
    <w:rsid w:val="00BC3B45"/>
    <w:rsid w:val="00BF331B"/>
    <w:rsid w:val="00C10A93"/>
    <w:rsid w:val="00C439EC"/>
    <w:rsid w:val="00C500BB"/>
    <w:rsid w:val="00C5307B"/>
    <w:rsid w:val="00C72168"/>
    <w:rsid w:val="00C73CBA"/>
    <w:rsid w:val="00C757F4"/>
    <w:rsid w:val="00C75A9D"/>
    <w:rsid w:val="00CA49B9"/>
    <w:rsid w:val="00CB19DE"/>
    <w:rsid w:val="00CB475B"/>
    <w:rsid w:val="00CB5944"/>
    <w:rsid w:val="00CC1B47"/>
    <w:rsid w:val="00CE451E"/>
    <w:rsid w:val="00D06EC8"/>
    <w:rsid w:val="00D136EA"/>
    <w:rsid w:val="00D251ED"/>
    <w:rsid w:val="00D46177"/>
    <w:rsid w:val="00D827A6"/>
    <w:rsid w:val="00D831E4"/>
    <w:rsid w:val="00D95949"/>
    <w:rsid w:val="00DA23DE"/>
    <w:rsid w:val="00DB1E6F"/>
    <w:rsid w:val="00DB29E9"/>
    <w:rsid w:val="00DE34CF"/>
    <w:rsid w:val="00DE77B9"/>
    <w:rsid w:val="00DF1112"/>
    <w:rsid w:val="00E1605D"/>
    <w:rsid w:val="00E32370"/>
    <w:rsid w:val="00E32B6B"/>
    <w:rsid w:val="00E5387A"/>
    <w:rsid w:val="00E55E84"/>
    <w:rsid w:val="00E946F8"/>
    <w:rsid w:val="00EB68B0"/>
    <w:rsid w:val="00EC2F47"/>
    <w:rsid w:val="00F4190F"/>
    <w:rsid w:val="00F5077C"/>
    <w:rsid w:val="00F72A28"/>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