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56E35F98">
      <w:pPr>
        <w:pStyle w:val="MeetingDetails"/>
      </w:pPr>
      <w:r>
        <w:t>April</w:t>
      </w:r>
      <w:r w:rsidR="005051BB">
        <w:t xml:space="preserve"> </w:t>
      </w:r>
      <w:r>
        <w:t>16</w:t>
      </w:r>
      <w:r w:rsidR="00837E78">
        <w:t>,</w:t>
      </w:r>
      <w:r w:rsidR="002B2F98">
        <w:t xml:space="preserve"> </w:t>
      </w:r>
      <w:r w:rsidR="00ED2C30">
        <w:t>2024</w:t>
      </w:r>
      <w:r>
        <w:t xml:space="preserve"> </w:t>
      </w:r>
    </w:p>
    <w:p w:rsidR="00950957" w:rsidP="008D6CD8" w14:paraId="6BD7239B" w14:textId="7CC7A7FD">
      <w:pPr>
        <w:pStyle w:val="MeetingDetails"/>
      </w:pPr>
      <w:r>
        <w:t>1:00 p.m. – 2:00 p.m. EPT</w:t>
      </w:r>
    </w:p>
    <w:p w:rsidR="00950957" w:rsidP="008D6CD8" w14:paraId="12849BC9" w14:textId="68CBB144">
      <w:pPr>
        <w:pStyle w:val="MeetingDetails"/>
      </w:pPr>
    </w:p>
    <w:p w:rsidR="00950957" w:rsidRPr="00B62597" w:rsidP="00950957" w14:paraId="6A37EA8E" w14:textId="77777777">
      <w:pPr>
        <w:pStyle w:val="PrimaryHeading"/>
        <w:rPr>
          <w:caps/>
        </w:rPr>
      </w:pPr>
      <w:bookmarkStart w:id="0" w:name="OLE_LINK5"/>
      <w:bookmarkStart w:id="1" w:name="OLE_LINK3"/>
      <w:r w:rsidRPr="00527104">
        <w:t>Adm</w:t>
      </w:r>
      <w:r w:rsidRPr="007C2954">
        <w:t>inistrati</w:t>
      </w:r>
      <w:r w:rsidRPr="00527104">
        <w:t>on (</w:t>
      </w:r>
      <w:r>
        <w:t>1:00 – 1:10</w:t>
      </w:r>
      <w:r w:rsidRPr="00527104">
        <w:t>)</w:t>
      </w:r>
    </w:p>
    <w:bookmarkEnd w:id="0"/>
    <w:bookmarkEnd w:id="1"/>
    <w:p w:rsidR="00950957" w:rsidP="00B963AF" w14:paraId="7E2E2A77" w14:textId="1AFEA877">
      <w:pPr>
        <w:pStyle w:val="MeetingDetails"/>
        <w:rPr>
          <w:b w:val="0"/>
        </w:rPr>
      </w:pPr>
      <w:r>
        <w:rPr>
          <w:b w:val="0"/>
        </w:rPr>
        <w:t>Welcome, r</w:t>
      </w:r>
      <w:r w:rsidRPr="00042CA7">
        <w:rPr>
          <w:b w:val="0"/>
        </w:rPr>
        <w:t xml:space="preserve">eview of Anti-Trust Policy, Code of Conduct, </w:t>
      </w:r>
      <w:r>
        <w:rPr>
          <w:b w:val="0"/>
        </w:rPr>
        <w:t>Public Meetings/</w:t>
      </w:r>
      <w:r w:rsidRPr="00042CA7">
        <w:rPr>
          <w:b w:val="0"/>
        </w:rPr>
        <w:t xml:space="preserve">Media Participation </w:t>
      </w:r>
      <w:r>
        <w:rPr>
          <w:b w:val="0"/>
        </w:rPr>
        <w:t xml:space="preserve">and Participant Identification guidelines, </w:t>
      </w:r>
      <w:r w:rsidRPr="00042CA7">
        <w:rPr>
          <w:b w:val="0"/>
        </w:rPr>
        <w:t>and roll call</w:t>
      </w:r>
      <w:r>
        <w:rPr>
          <w:b w:val="0"/>
        </w:rPr>
        <w:t>.</w:t>
      </w:r>
      <w:r w:rsidR="00A2203F">
        <w:rPr>
          <w:b w:val="0"/>
        </w:rPr>
        <w:t xml:space="preserve"> </w:t>
      </w:r>
    </w:p>
    <w:p w:rsidR="00203D88" w:rsidRPr="00042CA7" w:rsidP="00B963AF" w14:paraId="36919427" w14:textId="77777777">
      <w:pPr>
        <w:pStyle w:val="MeetingDetails"/>
      </w:pPr>
    </w:p>
    <w:p w:rsidR="00950957" w:rsidP="00950957" w14:paraId="4C20121D" w14:textId="77777777">
      <w:pPr>
        <w:pStyle w:val="PrimaryHeading"/>
      </w:pPr>
      <w:r>
        <w:t>Working Issues (1:10 – 1:45)</w:t>
      </w:r>
    </w:p>
    <w:p w:rsidR="008719AE" w:rsidP="008719AE" w14:paraId="154FC3C6" w14:textId="22E0D96A">
      <w:pPr>
        <w:pStyle w:val="ListSubhead1"/>
        <w:numPr>
          <w:ilvl w:val="0"/>
          <w:numId w:val="0"/>
        </w:numPr>
        <w:ind w:left="360" w:hanging="360"/>
      </w:pPr>
      <w:r>
        <w:t>1</w:t>
      </w:r>
      <w:r w:rsidRPr="00B223CE">
        <w:t>.</w:t>
      </w:r>
      <w:r w:rsidRPr="00B223CE">
        <w:tab/>
      </w:r>
      <w:r>
        <w:t>MSRS Report Updates (1:10 – 1:20)</w:t>
      </w:r>
    </w:p>
    <w:p w:rsidR="00A2203F" w:rsidP="00A2203F" w14:paraId="6E176972" w14:textId="5CE9BFA8">
      <w:pPr>
        <w:pStyle w:val="ListSubhead1"/>
        <w:numPr>
          <w:ilvl w:val="0"/>
          <w:numId w:val="0"/>
        </w:numPr>
        <w:ind w:left="360" w:hanging="360"/>
        <w:rPr>
          <w:b w:val="0"/>
        </w:rPr>
      </w:pPr>
      <w:r>
        <w:tab/>
      </w:r>
      <w:r w:rsidR="005E4DB4">
        <w:rPr>
          <w:b w:val="0"/>
        </w:rPr>
        <w:t xml:space="preserve">Nick </w:t>
      </w:r>
      <w:r w:rsidR="005E4DB4">
        <w:rPr>
          <w:b w:val="0"/>
        </w:rPr>
        <w:t>DiSciullo</w:t>
      </w:r>
      <w:r>
        <w:rPr>
          <w:b w:val="0"/>
        </w:rPr>
        <w:t>, PJM, will review upcoming</w:t>
      </w:r>
      <w:r w:rsidR="005E4DB4">
        <w:rPr>
          <w:b w:val="0"/>
        </w:rPr>
        <w:t xml:space="preserve"> changes to the formats of existing MSRS reports</w:t>
      </w:r>
      <w:r>
        <w:rPr>
          <w:b w:val="0"/>
        </w:rPr>
        <w:t>.</w:t>
      </w:r>
    </w:p>
    <w:p w:rsidR="00950957" w:rsidP="00B963AF" w14:paraId="695C5A2A" w14:textId="2207EA62">
      <w:pPr>
        <w:pStyle w:val="MeetingDetails"/>
        <w:tabs>
          <w:tab w:val="left" w:pos="0"/>
        </w:tabs>
      </w:pPr>
      <w:r>
        <w:t xml:space="preserve">2.   </w:t>
      </w:r>
      <w:r w:rsidR="00A2203F">
        <w:t>MSS schedule feedback (1:20 – 1:30)</w:t>
      </w:r>
    </w:p>
    <w:p w:rsidR="00B963AF" w:rsidP="008D6CD8" w14:paraId="277AA49B" w14:textId="16E2405E">
      <w:pPr>
        <w:pStyle w:val="MeetingDetails"/>
      </w:pPr>
      <w:r>
        <w:t xml:space="preserve">      </w:t>
      </w:r>
    </w:p>
    <w:p w:rsidR="00950957" w:rsidRPr="00B963AF" w:rsidP="00B963AF" w14:paraId="48252950" w14:textId="7857E6D5">
      <w:pPr>
        <w:pStyle w:val="MeetingDetails"/>
        <w:ind w:left="360" w:hanging="360"/>
        <w:rPr>
          <w:b w:val="0"/>
        </w:rPr>
      </w:pPr>
      <w:r>
        <w:t xml:space="preserve">       </w:t>
      </w:r>
      <w:r w:rsidRPr="00B963AF">
        <w:rPr>
          <w:b w:val="0"/>
        </w:rPr>
        <w:t>PJM will review recent MSS cancelations and request feedback regarding the subcommittee meeting schedule and posting of informational only items.</w:t>
      </w:r>
    </w:p>
    <w:p w:rsidR="00B62597" w:rsidRPr="00B62597" w:rsidP="00B62597" w14:paraId="5B623F7F"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EA027A" w:rsidRPr="00D77189" w:rsidP="00D77189" w14:paraId="79FEC60F" w14:textId="77777777">
      <w:pPr>
        <w:pStyle w:val="ListParagraph"/>
        <w:numPr>
          <w:ilvl w:val="0"/>
          <w:numId w:val="21"/>
        </w:numPr>
        <w:ind w:left="360"/>
        <w:contextualSpacing w:val="0"/>
        <w:rPr>
          <w:rFonts w:ascii="Arial Narrow" w:eastAsia="Times New Roman" w:hAnsi="Arial Narrow" w:cs="Times New Roman"/>
          <w:b/>
          <w:sz w:val="24"/>
        </w:rPr>
      </w:pPr>
      <w:r>
        <w:rPr>
          <w:rFonts w:ascii="Arial Narrow" w:eastAsia="Times New Roman" w:hAnsi="Arial Narrow" w:cs="Times New Roman"/>
          <w:b/>
          <w:sz w:val="24"/>
        </w:rPr>
        <w:t>Winter Storm Elliott PAI Settlement Agreement</w:t>
      </w:r>
    </w:p>
    <w:p w:rsidR="00F31875" w:rsidRPr="00203D88" w:rsidP="00D77189" w14:paraId="183A2983" w14:textId="10D059B7">
      <w:pPr>
        <w:pStyle w:val="ListParagraph"/>
        <w:ind w:left="403"/>
        <w:contextualSpacing w:val="0"/>
        <w:rPr>
          <w:rFonts w:ascii="Arial Narrow" w:hAnsi="Arial Narrow" w:cs="Calibri"/>
          <w:sz w:val="24"/>
        </w:rPr>
      </w:pPr>
      <w:r w:rsidRPr="00203D88">
        <w:rPr>
          <w:rFonts w:ascii="Arial Narrow" w:hAnsi="Arial Narrow" w:cs="Calibri"/>
          <w:sz w:val="24"/>
        </w:rPr>
        <w:t>PJM implement</w:t>
      </w:r>
      <w:r w:rsidRPr="00203D88" w:rsidR="00581DA2">
        <w:rPr>
          <w:rFonts w:ascii="Arial Narrow" w:hAnsi="Arial Narrow" w:cs="Calibri"/>
          <w:sz w:val="24"/>
        </w:rPr>
        <w:t>ed</w:t>
      </w:r>
      <w:r w:rsidRPr="00203D88">
        <w:rPr>
          <w:rFonts w:ascii="Arial Narrow" w:hAnsi="Arial Narrow" w:cs="Calibri"/>
          <w:sz w:val="24"/>
        </w:rPr>
        <w:t xml:space="preserve"> the Settlement Agreement updates and also complete</w:t>
      </w:r>
      <w:r w:rsidRPr="00203D88" w:rsidR="00581DA2">
        <w:rPr>
          <w:rFonts w:ascii="Arial Narrow" w:hAnsi="Arial Narrow" w:cs="Calibri"/>
          <w:sz w:val="24"/>
        </w:rPr>
        <w:t>d</w:t>
      </w:r>
      <w:r w:rsidRPr="00203D88">
        <w:rPr>
          <w:rFonts w:ascii="Arial Narrow" w:hAnsi="Arial Narrow" w:cs="Calibri"/>
          <w:sz w:val="24"/>
        </w:rPr>
        <w:t xml:space="preserve"> the 3 months of PAI billing that were suspended per the waiver in FERC Docket No. EL23-53, et al. in the February </w:t>
      </w:r>
      <w:r w:rsidRPr="00203D88" w:rsidR="00A2203F">
        <w:rPr>
          <w:rFonts w:ascii="Arial Narrow" w:hAnsi="Arial Narrow" w:cs="Calibri"/>
          <w:sz w:val="24"/>
        </w:rPr>
        <w:t>2024 monthly billing statement. PJM completed additional holdback reconciliation billing in the March 2024 monthly billing statement.</w:t>
      </w:r>
    </w:p>
    <w:p w:rsidR="009A2EE8" w:rsidRPr="00203D88" w:rsidP="009A2EE8" w14:paraId="7417C10B" w14:textId="123B510C">
      <w:pPr>
        <w:pStyle w:val="ListParagraph"/>
        <w:ind w:left="403"/>
        <w:rPr>
          <w:rFonts w:ascii="Arial Narrow" w:hAnsi="Arial Narrow" w:cs="Calibri"/>
          <w:sz w:val="24"/>
        </w:rPr>
      </w:pPr>
      <w:r w:rsidRPr="00203D88">
        <w:rPr>
          <w:rFonts w:ascii="Arial Narrow" w:hAnsi="Arial Narrow" w:cs="Calibri"/>
          <w:sz w:val="24"/>
        </w:rPr>
        <w:t>Additional details regarding the implementation of the Winter Storm Elliot Settlement Agreement</w:t>
      </w:r>
      <w:r w:rsidRPr="00203D88">
        <w:rPr>
          <w:rFonts w:ascii="Arial Narrow" w:hAnsi="Arial Narrow" w:cs="Calibri"/>
          <w:sz w:val="24"/>
        </w:rPr>
        <w:t xml:space="preserve">, </w:t>
      </w:r>
      <w:r w:rsidRPr="00203D88" w:rsidR="00A2203F">
        <w:rPr>
          <w:rFonts w:ascii="Arial Narrow" w:hAnsi="Arial Narrow" w:cs="Calibri"/>
          <w:sz w:val="24"/>
        </w:rPr>
        <w:t xml:space="preserve">will be discussed at the April 24, 2024 </w:t>
      </w:r>
      <w:hyperlink r:id="rId4" w:history="1">
        <w:r w:rsidRPr="00203D88">
          <w:rPr>
            <w:rStyle w:val="Hyperlink"/>
            <w:rFonts w:ascii="Arial Narrow" w:hAnsi="Arial Narrow" w:cs="Calibri"/>
            <w:sz w:val="24"/>
          </w:rPr>
          <w:t>Risk Management Committee</w:t>
        </w:r>
      </w:hyperlink>
      <w:r w:rsidRPr="00203D88" w:rsidR="00F2674C">
        <w:rPr>
          <w:rFonts w:ascii="Arial Narrow" w:hAnsi="Arial Narrow" w:cs="Calibri"/>
          <w:sz w:val="24"/>
        </w:rPr>
        <w:t xml:space="preserve"> meeting. </w:t>
      </w:r>
    </w:p>
    <w:p w:rsidR="009A2EE8" w:rsidRPr="00203D88" w:rsidP="009A2EE8" w14:paraId="00773154" w14:textId="77777777">
      <w:pPr>
        <w:pStyle w:val="ListParagraph"/>
        <w:ind w:left="403"/>
        <w:rPr>
          <w:rFonts w:ascii="Arial Narrow" w:hAnsi="Arial Narrow" w:cs="Calibri"/>
          <w:sz w:val="24"/>
        </w:rPr>
      </w:pPr>
    </w:p>
    <w:p w:rsidR="00581DA2" w:rsidRPr="00203D88" w:rsidP="00581DA2" w14:paraId="4768B90D" w14:textId="3C7BCA96">
      <w:pPr>
        <w:pStyle w:val="ListParagraph"/>
        <w:ind w:left="403"/>
        <w:contextualSpacing w:val="0"/>
        <w:rPr>
          <w:rFonts w:ascii="Arial Narrow" w:hAnsi="Arial Narrow" w:cs="Calibri"/>
          <w:sz w:val="24"/>
        </w:rPr>
      </w:pPr>
      <w:r w:rsidRPr="00203D88">
        <w:rPr>
          <w:rFonts w:ascii="Arial Narrow" w:hAnsi="Arial Narrow" w:cs="Calibri"/>
          <w:sz w:val="24"/>
        </w:rPr>
        <w:t xml:space="preserve">Please review the dedicated </w:t>
      </w:r>
      <w:hyperlink r:id="rId5" w:history="1">
        <w:r w:rsidRPr="00203D88">
          <w:rPr>
            <w:rStyle w:val="Hyperlink"/>
            <w:rFonts w:ascii="Arial Narrow" w:hAnsi="Arial Narrow" w:cs="Calibri"/>
            <w:sz w:val="24"/>
          </w:rPr>
          <w:t>Winter Storm Elliott</w:t>
        </w:r>
      </w:hyperlink>
      <w:r w:rsidRPr="00203D88">
        <w:rPr>
          <w:rFonts w:ascii="Arial Narrow" w:hAnsi="Arial Narrow" w:cs="Calibri"/>
          <w:sz w:val="24"/>
        </w:rPr>
        <w:t xml:space="preserve"> information page on PJM.com for additional details</w:t>
      </w:r>
      <w:r w:rsidRPr="00203D88" w:rsidR="00E74684">
        <w:rPr>
          <w:rFonts w:ascii="Arial Narrow" w:hAnsi="Arial Narrow" w:cs="Calibri"/>
          <w:sz w:val="24"/>
        </w:rPr>
        <w:t xml:space="preserve"> on the Settlement Agreement</w:t>
      </w:r>
      <w:r w:rsidRPr="00203D88">
        <w:rPr>
          <w:rFonts w:ascii="Arial Narrow" w:hAnsi="Arial Narrow" w:cs="Calibri"/>
          <w:sz w:val="24"/>
        </w:rPr>
        <w:t>.</w:t>
      </w:r>
    </w:p>
    <w:p w:rsidR="00581DA2" w:rsidRPr="00203D88" w:rsidP="00581DA2" w14:paraId="6D788564" w14:textId="30CD5FA5">
      <w:pPr>
        <w:pStyle w:val="ListParagraph"/>
        <w:ind w:left="403"/>
        <w:contextualSpacing w:val="0"/>
        <w:rPr>
          <w:rFonts w:ascii="Arial Narrow" w:hAnsi="Arial Narrow" w:cs="Calibri"/>
          <w:sz w:val="24"/>
        </w:rPr>
      </w:pPr>
      <w:r w:rsidRPr="00203D88">
        <w:rPr>
          <w:rFonts w:ascii="Arial Narrow" w:hAnsi="Arial Narrow" w:cs="Calibri"/>
          <w:sz w:val="24"/>
        </w:rPr>
        <w:t>Please review the following information regarding how updated Non-Performance Assessment charges and Bonus Performance credits appear in monthly invoices and supporting MSRS reports.</w:t>
      </w:r>
    </w:p>
    <w:p w:rsidR="00F2674C" w:rsidRPr="00581DA2" w:rsidP="00581DA2" w14:paraId="2EA0E100" w14:textId="2BB03058">
      <w:pPr>
        <w:pStyle w:val="ListParagraph"/>
        <w:ind w:left="403" w:hanging="403"/>
        <w:contextualSpacing w:val="0"/>
        <w:rPr>
          <w:rFonts w:ascii="Arial Narrow" w:hAnsi="Arial Narrow" w:cs="Calibri"/>
        </w:rPr>
      </w:pPr>
      <w:r w:rsidRPr="00203D88">
        <w:rPr>
          <w:rFonts w:ascii="Arial Narrow" w:hAnsi="Arial Narrow" w:cs="Calibri"/>
          <w:sz w:val="24"/>
        </w:rPr>
        <w:tab/>
      </w:r>
      <w:hyperlink r:id="rId6" w:history="1">
        <w:r w:rsidRPr="00203D88">
          <w:rPr>
            <w:rStyle w:val="Hyperlink"/>
            <w:rFonts w:ascii="Arial Narrow" w:hAnsi="Arial Narrow" w:cs="Calibri"/>
            <w:sz w:val="24"/>
          </w:rPr>
          <w:t>PAI Settlement Implementation</w:t>
        </w:r>
      </w:hyperlink>
      <w:r w:rsidRPr="00581DA2">
        <w:rPr>
          <w:rFonts w:ascii="Arial Narrow" w:hAnsi="Arial Narrow" w:cs="Calibri"/>
          <w:b/>
        </w:rPr>
        <w:tab/>
      </w:r>
    </w:p>
    <w:p w:rsidR="003E1134" w:rsidP="00A2203F" w14:paraId="56FFB2E7" w14:textId="6CC0D856">
      <w:pPr>
        <w:pStyle w:val="ListSubhead1"/>
        <w:numPr>
          <w:ilvl w:val="0"/>
          <w:numId w:val="0"/>
        </w:numPr>
      </w:pPr>
      <w:r w:rsidRPr="00A2203F">
        <w:t>2</w:t>
      </w:r>
      <w:r w:rsidRPr="00A2203F" w:rsidR="00912528">
        <w:t>.</w:t>
      </w:r>
      <w:r w:rsidRPr="00A2203F" w:rsidR="008D6CD8">
        <w:t xml:space="preserve"> </w:t>
      </w:r>
      <w:r w:rsidRPr="00A2203F" w:rsidR="00C45666">
        <w:t xml:space="preserve">  </w:t>
      </w:r>
      <w:r>
        <w:t>FERC EQR Maximum Download Range Update</w:t>
      </w:r>
    </w:p>
    <w:p w:rsidR="000044D5" w:rsidP="00203D88" w14:paraId="4CBC7D6A" w14:textId="50CF5B44">
      <w:pPr>
        <w:pStyle w:val="ListSubhead1"/>
        <w:numPr>
          <w:ilvl w:val="0"/>
          <w:numId w:val="0"/>
        </w:numPr>
        <w:spacing w:line="276" w:lineRule="auto"/>
        <w:ind w:left="360"/>
        <w:rPr>
          <w:rStyle w:val="ui-provider"/>
          <w:b w:val="0"/>
        </w:rPr>
      </w:pPr>
      <w:r>
        <w:rPr>
          <w:rStyle w:val="ui-provider"/>
          <w:b w:val="0"/>
        </w:rPr>
        <w:t xml:space="preserve">The maximum download range limit for the FERC EQR MSRS report was set to 1 day on April 15, 2024.  </w:t>
      </w:r>
      <w:r w:rsidR="00D93F09">
        <w:rPr>
          <w:rStyle w:val="ui-provider"/>
          <w:b w:val="0"/>
        </w:rPr>
        <w:t>Please r</w:t>
      </w:r>
      <w:r w:rsidRPr="0096473D" w:rsidR="0096473D">
        <w:rPr>
          <w:rStyle w:val="ui-provider"/>
          <w:b w:val="0"/>
        </w:rPr>
        <w:t xml:space="preserve">eview </w:t>
      </w:r>
      <w:r w:rsidR="00D93F09">
        <w:rPr>
          <w:rStyle w:val="ui-provider"/>
          <w:b w:val="0"/>
        </w:rPr>
        <w:t>the below information detailing</w:t>
      </w:r>
      <w:r>
        <w:rPr>
          <w:rStyle w:val="ui-provider"/>
          <w:b w:val="0"/>
        </w:rPr>
        <w:t xml:space="preserve"> the</w:t>
      </w:r>
      <w:r w:rsidR="00D93F09">
        <w:rPr>
          <w:rStyle w:val="ui-provider"/>
          <w:b w:val="0"/>
        </w:rPr>
        <w:t xml:space="preserve"> </w:t>
      </w:r>
      <w:r>
        <w:rPr>
          <w:rStyle w:val="ui-provider"/>
          <w:b w:val="0"/>
        </w:rPr>
        <w:t>changes.</w:t>
      </w:r>
    </w:p>
    <w:p w:rsidR="00D93F09" w:rsidP="00D77189" w14:paraId="1DE1EF0B" w14:textId="697552FD">
      <w:pPr>
        <w:pStyle w:val="ListSubhead1"/>
        <w:numPr>
          <w:ilvl w:val="0"/>
          <w:numId w:val="0"/>
        </w:numPr>
        <w:ind w:left="360"/>
        <w:rPr>
          <w:rStyle w:val="Hyperlink"/>
          <w:b w:val="0"/>
        </w:rPr>
      </w:pPr>
      <w:hyperlink r:id="rId7" w:history="1">
        <w:r w:rsidRPr="002F44DA">
          <w:rPr>
            <w:rStyle w:val="Hyperlink"/>
            <w:b w:val="0"/>
          </w:rPr>
          <w:t>FERC EQR Maximum Download Range Limit</w:t>
        </w:r>
      </w:hyperlink>
    </w:p>
    <w:p w:rsidR="00A2203F" w:rsidP="00A2203F" w14:paraId="54FDB66F" w14:textId="5419B2E6">
      <w:pPr>
        <w:pStyle w:val="ListSubhead1"/>
        <w:numPr>
          <w:ilvl w:val="0"/>
          <w:numId w:val="25"/>
        </w:numPr>
      </w:pPr>
      <w:hyperlink r:id="rId8" w:history="1">
        <w:r w:rsidRPr="00A2203F">
          <w:t>MSS@PJM.com</w:t>
        </w:r>
      </w:hyperlink>
      <w:r w:rsidRPr="00A2203F">
        <w:t xml:space="preserve"> email address removed</w:t>
      </w:r>
    </w:p>
    <w:p w:rsidR="00A2203F" w:rsidRPr="00A2203F" w:rsidP="00203D88" w14:paraId="78F0F253" w14:textId="26FC1CFD">
      <w:pPr>
        <w:pStyle w:val="ListSubhead1"/>
        <w:numPr>
          <w:ilvl w:val="0"/>
          <w:numId w:val="0"/>
        </w:numPr>
        <w:spacing w:line="276" w:lineRule="auto"/>
        <w:ind w:left="360"/>
        <w:rPr>
          <w:b w:val="0"/>
        </w:rPr>
      </w:pPr>
      <w:r>
        <w:rPr>
          <w:b w:val="0"/>
        </w:rPr>
        <w:t xml:space="preserve">The </w:t>
      </w:r>
      <w:hyperlink r:id="rId8" w:history="1">
        <w:r w:rsidRPr="002950DE">
          <w:rPr>
            <w:rStyle w:val="Hyperlink"/>
            <w:b w:val="0"/>
          </w:rPr>
          <w:t>mss@pjm.com</w:t>
        </w:r>
      </w:hyperlink>
      <w:r>
        <w:rPr>
          <w:b w:val="0"/>
        </w:rPr>
        <w:t xml:space="preserve"> email address has officially been removed.  Please direct any questions or requests to </w:t>
      </w:r>
      <w:hyperlink r:id="rId9" w:history="1">
        <w:r w:rsidRPr="00203D88">
          <w:rPr>
            <w:rStyle w:val="Hyperlink"/>
            <w:b w:val="0"/>
          </w:rPr>
          <w:t>mrkt_settlement_ops@pjm.com</w:t>
        </w:r>
      </w:hyperlink>
      <w:r>
        <w:rPr>
          <w:rFonts w:ascii="Arial" w:hAnsi="Arial" w:cs="Arial"/>
          <w:color w:val="000000"/>
          <w:sz w:val="21"/>
          <w:szCs w:val="21"/>
        </w:rPr>
        <w:t>.</w:t>
      </w:r>
    </w:p>
    <w:p w:rsidR="001D6600" w:rsidRPr="001D6600" w:rsidP="00F2674C" w14:paraId="76243813" w14:textId="77777777">
      <w:pPr>
        <w:pStyle w:val="ListSubhead1"/>
        <w:numPr>
          <w:ilvl w:val="0"/>
          <w:numId w:val="25"/>
        </w:numPr>
        <w:rPr>
          <w:b w:val="0"/>
        </w:rPr>
      </w:pPr>
      <w:r>
        <w:t>Ongoing MIC Special Session – Operating Reserve Clarification for Resources Operating as Requested by PJM</w:t>
      </w:r>
    </w:p>
    <w:p w:rsidR="00F867EA" w:rsidRPr="00203D88" w:rsidP="001D6600" w14:paraId="668838AC" w14:textId="1A92CFB3">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Special sessions </w:t>
      </w:r>
      <w:r w:rsidRPr="00203D88">
        <w:rPr>
          <w:rFonts w:eastAsiaTheme="minorHAnsi" w:cs="Calibri"/>
          <w:b w:val="0"/>
        </w:rPr>
        <w:t xml:space="preserve">continue in 2024.  Please reference the </w:t>
      </w:r>
      <w:hyperlink r:id="rId10"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F2674C" w14:paraId="12F2FD6C" w14:textId="77777777">
      <w:pPr>
        <w:pStyle w:val="ListParagraph"/>
        <w:numPr>
          <w:ilvl w:val="0"/>
          <w:numId w:val="25"/>
        </w:numPr>
        <w:ind w:left="450" w:hanging="450"/>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854D97" w14:paraId="0EF0D109" w14:textId="38BAD0EF">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Pr="00203D88" w:rsidR="0034523B">
        <w:rPr>
          <w:rFonts w:ascii="Arial Narrow" w:hAnsi="Arial Narrow" w:cs="Calibri"/>
          <w:sz w:val="24"/>
          <w:szCs w:val="24"/>
        </w:rPr>
        <w:t>March</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6067C" w:rsidP="00912528" w14:paraId="478FED9B" w14:textId="5AD10B5E">
      <w:pPr>
        <w:pStyle w:val="ListParagraph"/>
        <w:ind w:left="405"/>
        <w:rPr>
          <w:rFonts w:ascii="Arial Narrow" w:hAnsi="Arial Narrow" w:cs="Calibri"/>
        </w:rPr>
      </w:pPr>
      <w:hyperlink r:id="rId11"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p w:rsidR="00203D88" w:rsidP="00203D88" w14:paraId="1601F1DF" w14:textId="77777777">
      <w:pPr>
        <w:pStyle w:val="MeetingDetails"/>
        <w:numPr>
          <w:ilvl w:val="0"/>
          <w:numId w:val="25"/>
        </w:numPr>
      </w:pPr>
      <w:r>
        <w:t>Manual 29: Billing Periodic Review</w:t>
      </w:r>
    </w:p>
    <w:p w:rsidR="00203D88" w:rsidP="00203D88" w14:paraId="4DCF5A0F" w14:textId="77777777">
      <w:pPr>
        <w:pStyle w:val="MeetingDetails"/>
        <w:ind w:left="360"/>
      </w:pPr>
    </w:p>
    <w:p w:rsidR="00203D88" w:rsidRPr="00203D88" w:rsidP="00203D88" w14:paraId="386269D0" w14:textId="2011930C">
      <w:pPr>
        <w:pStyle w:val="MeetingDetails"/>
        <w:ind w:left="360"/>
        <w:rPr>
          <w:b w:val="0"/>
        </w:rPr>
      </w:pPr>
      <w:r>
        <w:rPr>
          <w:b w:val="0"/>
        </w:rPr>
        <w:t>The PJM Billing Manual (Manual 29) is due for periodic review</w:t>
      </w:r>
      <w:r w:rsidR="0065586E">
        <w:rPr>
          <w:b w:val="0"/>
        </w:rPr>
        <w:t xml:space="preserve"> in June 2024</w:t>
      </w:r>
      <w:r>
        <w:rPr>
          <w:b w:val="0"/>
        </w:rPr>
        <w:t xml:space="preserve">.  PJM’s intent is to bring the manual revisions directly to the </w:t>
      </w:r>
      <w:r w:rsidRPr="00203D88">
        <w:rPr>
          <w:b w:val="0"/>
        </w:rPr>
        <w:t xml:space="preserve">MIC </w:t>
      </w:r>
      <w:r>
        <w:rPr>
          <w:b w:val="0"/>
        </w:rPr>
        <w:t xml:space="preserve">as only ministerial updates are </w:t>
      </w:r>
      <w:r w:rsidR="0065586E">
        <w:rPr>
          <w:b w:val="0"/>
        </w:rPr>
        <w:t>anticipated</w:t>
      </w:r>
      <w:r>
        <w:rPr>
          <w:b w:val="0"/>
        </w:rPr>
        <w:t xml:space="preserve"> (grammar, formatting).</w:t>
      </w:r>
    </w:p>
    <w:p w:rsidR="00203D88" w:rsidRPr="00021BE9" w:rsidP="00203D88" w14:paraId="74D483B5" w14:textId="17874AF8">
      <w:pPr>
        <w:pStyle w:val="ListParagraph"/>
        <w:ind w:left="360"/>
        <w:rPr>
          <w:rFonts w:ascii="Arial Narrow" w:hAnsi="Arial Narrow" w:cs="Calibri"/>
        </w:rPr>
      </w:pP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3B9AB3B9" w14:textId="77777777" w:rsidTr="004B1A71">
        <w:tblPrEx>
          <w:tblW w:w="0" w:type="auto"/>
          <w:tblLook w:val="04A0"/>
        </w:tblPrEx>
        <w:tc>
          <w:tcPr>
            <w:tcW w:w="3115" w:type="dxa"/>
          </w:tcPr>
          <w:p w:rsidR="00985276" w:rsidP="00CD7076" w14:paraId="4CF5CC56" w14:textId="3C9A97E0">
            <w:pPr>
              <w:pStyle w:val="NormalWeb"/>
              <w:spacing w:before="0" w:beforeAutospacing="0" w:after="0" w:afterAutospacing="0"/>
              <w:rPr>
                <w:rFonts w:ascii="Arial Narrow" w:hAnsi="Arial Narrow"/>
                <w:sz w:val="18"/>
                <w:szCs w:val="18"/>
              </w:rPr>
            </w:pPr>
            <w:r>
              <w:rPr>
                <w:rFonts w:ascii="Arial Narrow" w:hAnsi="Arial Narrow"/>
                <w:sz w:val="18"/>
                <w:szCs w:val="18"/>
              </w:rPr>
              <w:t>May 14, 2024</w:t>
            </w:r>
          </w:p>
        </w:tc>
        <w:tc>
          <w:tcPr>
            <w:tcW w:w="3110" w:type="dxa"/>
          </w:tcPr>
          <w:p w:rsidR="00985276" w:rsidP="00CD7076" w14:paraId="0CACDA35" w14:textId="494F3CD9">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5E3BEA5C" w14:textId="364F5952">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469485F" w14:textId="77777777" w:rsidTr="004B1A71">
        <w:tblPrEx>
          <w:tblW w:w="0" w:type="auto"/>
          <w:tblLook w:val="04A0"/>
        </w:tblPrEx>
        <w:tc>
          <w:tcPr>
            <w:tcW w:w="3115" w:type="dxa"/>
          </w:tcPr>
          <w:p w:rsidR="00985276" w:rsidP="00CD7076" w14:paraId="09FB272B" w14:textId="3A8A5869">
            <w:pPr>
              <w:pStyle w:val="NormalWeb"/>
              <w:spacing w:before="0" w:beforeAutospacing="0" w:after="0" w:afterAutospacing="0"/>
              <w:rPr>
                <w:rFonts w:ascii="Arial Narrow" w:hAnsi="Arial Narrow"/>
                <w:sz w:val="18"/>
                <w:szCs w:val="18"/>
              </w:rPr>
            </w:pPr>
            <w:r>
              <w:rPr>
                <w:rFonts w:ascii="Arial Narrow" w:hAnsi="Arial Narrow"/>
                <w:sz w:val="18"/>
                <w:szCs w:val="18"/>
              </w:rPr>
              <w:t>June 11, 2024</w:t>
            </w:r>
          </w:p>
        </w:tc>
        <w:tc>
          <w:tcPr>
            <w:tcW w:w="3110" w:type="dxa"/>
          </w:tcPr>
          <w:p w:rsidR="00985276" w:rsidP="00CD7076" w14:paraId="031A5D37" w14:textId="786803D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2576AA20" w14:textId="076793F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6D73E611" w14:textId="77777777" w:rsidTr="004B1A71">
        <w:tblPrEx>
          <w:tblW w:w="0" w:type="auto"/>
          <w:tblLook w:val="04A0"/>
        </w:tblPrEx>
        <w:tc>
          <w:tcPr>
            <w:tcW w:w="3115" w:type="dxa"/>
          </w:tcPr>
          <w:p w:rsidR="00950957" w:rsidP="00CD7076" w14:paraId="2C064500" w14:textId="284FAD82">
            <w:pPr>
              <w:pStyle w:val="NormalWeb"/>
              <w:spacing w:before="0" w:beforeAutospacing="0" w:after="0" w:afterAutospacing="0"/>
              <w:rPr>
                <w:rFonts w:ascii="Arial Narrow" w:hAnsi="Arial Narrow"/>
                <w:sz w:val="18"/>
                <w:szCs w:val="18"/>
              </w:rPr>
            </w:pPr>
            <w:r>
              <w:rPr>
                <w:rFonts w:ascii="Arial Narrow" w:hAnsi="Arial Narrow"/>
                <w:sz w:val="18"/>
                <w:szCs w:val="18"/>
              </w:rPr>
              <w:t>July 16, 2024</w:t>
            </w:r>
          </w:p>
        </w:tc>
        <w:tc>
          <w:tcPr>
            <w:tcW w:w="3110" w:type="dxa"/>
          </w:tcPr>
          <w:p w:rsidR="00950957" w:rsidP="00CD7076" w14:paraId="0791DEEE" w14:textId="76F86301">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2220058" w14:textId="4A675532">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0FF56AB" w14:textId="77777777" w:rsidTr="004B1A71">
        <w:tblPrEx>
          <w:tblW w:w="0" w:type="auto"/>
          <w:tblLook w:val="04A0"/>
        </w:tblPrEx>
        <w:tc>
          <w:tcPr>
            <w:tcW w:w="3115" w:type="dxa"/>
          </w:tcPr>
          <w:p w:rsidR="00950957" w:rsidP="00CD7076" w14:paraId="31B28973" w14:textId="0F0708E0">
            <w:pPr>
              <w:pStyle w:val="NormalWeb"/>
              <w:spacing w:before="0" w:beforeAutospacing="0" w:after="0" w:afterAutospacing="0"/>
              <w:rPr>
                <w:rFonts w:ascii="Arial Narrow" w:hAnsi="Arial Narrow"/>
                <w:sz w:val="18"/>
                <w:szCs w:val="18"/>
              </w:rPr>
            </w:pPr>
            <w:r>
              <w:rPr>
                <w:rFonts w:ascii="Arial Narrow" w:hAnsi="Arial Narrow"/>
                <w:sz w:val="18"/>
                <w:szCs w:val="18"/>
              </w:rPr>
              <w:t>August 13, 2024</w:t>
            </w:r>
          </w:p>
        </w:tc>
        <w:tc>
          <w:tcPr>
            <w:tcW w:w="3110" w:type="dxa"/>
          </w:tcPr>
          <w:p w:rsidR="00950957" w:rsidP="00CD7076" w14:paraId="294FC63D" w14:textId="4DF4FE1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474D43E" w14:textId="57C7BA4E">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F3280C0" w14:textId="77777777" w:rsidTr="004B1A71">
        <w:tblPrEx>
          <w:tblW w:w="0" w:type="auto"/>
          <w:tblLook w:val="04A0"/>
        </w:tblPrEx>
        <w:tc>
          <w:tcPr>
            <w:tcW w:w="3115" w:type="dxa"/>
          </w:tcPr>
          <w:p w:rsidR="00950957" w:rsidP="00CD7076" w14:paraId="049ACE08" w14:textId="1C5F122E">
            <w:pPr>
              <w:pStyle w:val="NormalWeb"/>
              <w:spacing w:before="0" w:beforeAutospacing="0" w:after="0" w:afterAutospacing="0"/>
              <w:rPr>
                <w:rFonts w:ascii="Arial Narrow" w:hAnsi="Arial Narrow"/>
                <w:sz w:val="18"/>
                <w:szCs w:val="18"/>
              </w:rPr>
            </w:pPr>
            <w:r>
              <w:rPr>
                <w:rFonts w:ascii="Arial Narrow" w:hAnsi="Arial Narrow"/>
                <w:sz w:val="18"/>
                <w:szCs w:val="18"/>
              </w:rPr>
              <w:t>September 17, 2024</w:t>
            </w:r>
          </w:p>
        </w:tc>
        <w:tc>
          <w:tcPr>
            <w:tcW w:w="3110" w:type="dxa"/>
          </w:tcPr>
          <w:p w:rsidR="00950957" w:rsidP="00CD7076" w14:paraId="41DEAB4C" w14:textId="31A63BA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165E6AC3" w14:textId="5FC18D6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B4855FB" w14:textId="77777777" w:rsidTr="004B1A71">
        <w:tblPrEx>
          <w:tblW w:w="0" w:type="auto"/>
          <w:tblLook w:val="04A0"/>
        </w:tblPrEx>
        <w:tc>
          <w:tcPr>
            <w:tcW w:w="3115" w:type="dxa"/>
          </w:tcPr>
          <w:p w:rsidR="00950957" w:rsidP="00CD7076" w14:paraId="28E1393A" w14:textId="3A143519">
            <w:pPr>
              <w:pStyle w:val="NormalWeb"/>
              <w:spacing w:before="0" w:beforeAutospacing="0" w:after="0" w:afterAutospacing="0"/>
              <w:rPr>
                <w:rFonts w:ascii="Arial Narrow" w:hAnsi="Arial Narrow"/>
                <w:sz w:val="18"/>
                <w:szCs w:val="18"/>
              </w:rPr>
            </w:pPr>
            <w:r>
              <w:rPr>
                <w:rFonts w:ascii="Arial Narrow" w:hAnsi="Arial Narrow"/>
                <w:sz w:val="18"/>
                <w:szCs w:val="18"/>
              </w:rPr>
              <w:t>October 15, 2024</w:t>
            </w:r>
          </w:p>
        </w:tc>
        <w:tc>
          <w:tcPr>
            <w:tcW w:w="3110" w:type="dxa"/>
          </w:tcPr>
          <w:p w:rsidR="00950957" w:rsidP="00CD7076" w14:paraId="635D2F59" w14:textId="5537300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8EE5BE7" w14:textId="6E7EFD2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7C8A177" w14:textId="77777777" w:rsidTr="004B1A71">
        <w:tblPrEx>
          <w:tblW w:w="0" w:type="auto"/>
          <w:tblLook w:val="04A0"/>
        </w:tblPrEx>
        <w:tc>
          <w:tcPr>
            <w:tcW w:w="3115" w:type="dxa"/>
          </w:tcPr>
          <w:p w:rsidR="00950957" w:rsidP="00CD7076" w14:paraId="5984F997" w14:textId="7EDD3F75">
            <w:pPr>
              <w:pStyle w:val="NormalWeb"/>
              <w:spacing w:before="0" w:beforeAutospacing="0" w:after="0" w:afterAutospacing="0"/>
              <w:rPr>
                <w:rFonts w:ascii="Arial Narrow" w:hAnsi="Arial Narrow"/>
                <w:sz w:val="18"/>
                <w:szCs w:val="18"/>
              </w:rPr>
            </w:pPr>
            <w:r>
              <w:rPr>
                <w:rFonts w:ascii="Arial Narrow" w:hAnsi="Arial Narrow"/>
                <w:sz w:val="18"/>
                <w:szCs w:val="18"/>
              </w:rPr>
              <w:t>November 18, 2024</w:t>
            </w:r>
          </w:p>
        </w:tc>
        <w:tc>
          <w:tcPr>
            <w:tcW w:w="3110" w:type="dxa"/>
          </w:tcPr>
          <w:p w:rsidR="00950957" w:rsidP="00CD7076" w14:paraId="5D67F6A9" w14:textId="623F153B">
            <w:pPr>
              <w:pStyle w:val="NormalWeb"/>
              <w:spacing w:before="0" w:beforeAutospacing="0" w:after="0" w:afterAutospacing="0"/>
              <w:rPr>
                <w:rFonts w:ascii="Arial Narrow" w:hAnsi="Arial Narrow"/>
                <w:sz w:val="18"/>
                <w:szCs w:val="18"/>
              </w:rPr>
            </w:pPr>
            <w:r>
              <w:rPr>
                <w:rFonts w:ascii="Arial Narrow" w:hAnsi="Arial Narrow"/>
                <w:sz w:val="18"/>
                <w:szCs w:val="18"/>
              </w:rPr>
              <w:t>10:30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bookmarkStart w:id="2" w:name="_GoBack"/>
      <w:bookmarkEnd w:id="2"/>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2"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47DE09A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468C">
      <w:rPr>
        <w:rStyle w:val="PageNumber"/>
        <w:noProof/>
      </w:rPr>
      <w:t>2</w:t>
    </w:r>
    <w:r>
      <w:rPr>
        <w:rStyle w:val="PageNumber"/>
      </w:rPr>
      <w:fldChar w:fldCharType="end"/>
    </w:r>
  </w:p>
  <w:bookmarkStart w:id="3"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7800CB68">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4E6DCA55">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4E6DCA55">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AE5">
      <w:rPr>
        <w:szCs w:val="17"/>
      </w:rPr>
      <w:t>April</w:t>
    </w:r>
    <w:r w:rsidR="00203A06">
      <w:rPr>
        <w:szCs w:val="17"/>
      </w:rPr>
      <w:t xml:space="preserve"> </w:t>
    </w:r>
    <w:r w:rsidR="00AA2380">
      <w:t xml:space="preserve"> </w:t>
    </w:r>
    <w:r w:rsidR="00D93F09">
      <w:t>12</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9D30E28C"/>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8"/>
  </w:num>
  <w:num w:numId="22">
    <w:abstractNumId w:val="11"/>
  </w:num>
  <w:num w:numId="23">
    <w:abstractNumId w:val="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2CA7"/>
    <w:rsid w:val="00043FC9"/>
    <w:rsid w:val="00045328"/>
    <w:rsid w:val="00052A93"/>
    <w:rsid w:val="00054111"/>
    <w:rsid w:val="0006266A"/>
    <w:rsid w:val="0007764F"/>
    <w:rsid w:val="00081948"/>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203A06"/>
    <w:rsid w:val="00203D88"/>
    <w:rsid w:val="002113BD"/>
    <w:rsid w:val="00223858"/>
    <w:rsid w:val="00236DEE"/>
    <w:rsid w:val="00240490"/>
    <w:rsid w:val="00246EAA"/>
    <w:rsid w:val="0025139E"/>
    <w:rsid w:val="00254D56"/>
    <w:rsid w:val="0026067C"/>
    <w:rsid w:val="0028534F"/>
    <w:rsid w:val="00286838"/>
    <w:rsid w:val="002950DE"/>
    <w:rsid w:val="002B2F98"/>
    <w:rsid w:val="002C418F"/>
    <w:rsid w:val="002C6057"/>
    <w:rsid w:val="002E67AA"/>
    <w:rsid w:val="002F44DA"/>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0777E"/>
    <w:rsid w:val="005109FF"/>
    <w:rsid w:val="00511C42"/>
    <w:rsid w:val="00527104"/>
    <w:rsid w:val="005523DD"/>
    <w:rsid w:val="00562CA4"/>
    <w:rsid w:val="0056402F"/>
    <w:rsid w:val="00564DEE"/>
    <w:rsid w:val="005652FA"/>
    <w:rsid w:val="0057441E"/>
    <w:rsid w:val="00581DA2"/>
    <w:rsid w:val="00593F23"/>
    <w:rsid w:val="005968E4"/>
    <w:rsid w:val="005A5D0D"/>
    <w:rsid w:val="005B2583"/>
    <w:rsid w:val="005C579D"/>
    <w:rsid w:val="005D2150"/>
    <w:rsid w:val="005D6D05"/>
    <w:rsid w:val="005E4DB4"/>
    <w:rsid w:val="006024A0"/>
    <w:rsid w:val="00602967"/>
    <w:rsid w:val="00605EFE"/>
    <w:rsid w:val="00606F11"/>
    <w:rsid w:val="006209D9"/>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6910"/>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7F7"/>
    <w:rsid w:val="008E74D7"/>
    <w:rsid w:val="008F0469"/>
    <w:rsid w:val="008F51F2"/>
    <w:rsid w:val="008F6EDB"/>
    <w:rsid w:val="00912528"/>
    <w:rsid w:val="00917386"/>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F53F9"/>
    <w:rsid w:val="009F5566"/>
    <w:rsid w:val="00A00FAC"/>
    <w:rsid w:val="00A01EDB"/>
    <w:rsid w:val="00A05391"/>
    <w:rsid w:val="00A2203F"/>
    <w:rsid w:val="00A220B3"/>
    <w:rsid w:val="00A30464"/>
    <w:rsid w:val="00A317A9"/>
    <w:rsid w:val="00A41149"/>
    <w:rsid w:val="00A45F4B"/>
    <w:rsid w:val="00A60939"/>
    <w:rsid w:val="00A63421"/>
    <w:rsid w:val="00A73B41"/>
    <w:rsid w:val="00A973D0"/>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963AF"/>
    <w:rsid w:val="00BA2595"/>
    <w:rsid w:val="00BA6146"/>
    <w:rsid w:val="00BA7ADD"/>
    <w:rsid w:val="00BB531B"/>
    <w:rsid w:val="00BB638E"/>
    <w:rsid w:val="00BF09DA"/>
    <w:rsid w:val="00BF331B"/>
    <w:rsid w:val="00C10306"/>
    <w:rsid w:val="00C1535F"/>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542D"/>
    <w:rsid w:val="00D8710C"/>
    <w:rsid w:val="00D93F09"/>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40BC"/>
    <w:rsid w:val="00EF670C"/>
    <w:rsid w:val="00EF7070"/>
    <w:rsid w:val="00F0153F"/>
    <w:rsid w:val="00F16AE5"/>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mic" TargetMode="External" /><Relationship Id="rId11" Type="http://schemas.openxmlformats.org/officeDocument/2006/relationships/hyperlink" Target="https://pjm.com/-/media/committees-groups/subcommittees/mss/2024/20240213/20240213-2024-settlement-c-tracking.ash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committees/rmc" TargetMode="External" /><Relationship Id="rId5" Type="http://schemas.openxmlformats.org/officeDocument/2006/relationships/hyperlink" Target="https://www.pjm.com/markets-and-operations/winter-storm-elliott" TargetMode="External" /><Relationship Id="rId6" Type="http://schemas.openxmlformats.org/officeDocument/2006/relationships/hyperlink" Target="https://pjm.com/-/media/committees-groups/subcommittees/mss/2024/20240213/20240213-pai-settlement-implementation.ashx" TargetMode="External" /><Relationship Id="rId7" Type="http://schemas.openxmlformats.org/officeDocument/2006/relationships/hyperlink" Target="https://www.pjm.com/-/media/committees-groups/subcommittees/mss/2024/20240312/20240312-msrs-report-updates---ferc-eqr-maximum-download-range-limit.ashx" TargetMode="External" /><Relationship Id="rId8" Type="http://schemas.openxmlformats.org/officeDocument/2006/relationships/hyperlink" Target="mailto:MSS@PJM.com" TargetMode="External" /><Relationship Id="rId9" Type="http://schemas.openxmlformats.org/officeDocument/2006/relationships/hyperlink" Target="mailto:mrkt_settlement_ops@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